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ИНТЕЛЛЕКТУАЛЬНЫЙ СЕРВИС ПЕРСОНАЛИЗИРОВАННОГО МОДЕЛИРОВАНИЯ ТРАЕКТОРИЙ РАЗВИТИЯ И АНАЛИЗА ПОВЕДЕНЧЕСКИХ ДАННЫХ С ИСПОЛЬЗОВАНИЕМ ТЕХНИК ГЕЙМИФИКАЦИИ ПРИ ВЗАИМОДЕЙСТВИИ С ПОЛЬЗОВАТЕЛЕМ «ТОЧКА РОСТА»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ИНСТРУКЦИЯ ПО УСТАНОВКЕ ЭКЗЕМПЛЯРА ПО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https://arm-point.ru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https://user.arm-point.ru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https://arm-point.ru/docs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Адрес экземпляра для экспертной проверки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Требования к клиентскому рабочему месту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Требования к серверному размещению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Порядок доступа эксперта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Порядок самостоятельного развертывания экземпляра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Проверка работоспособности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Резервное копирование и восстановление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Контакты и ответственные лица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Настоящая инструкция описывает порядок доступа к экземпляру программного продукта «ТОЧКА РОСТА», а также общие требования к серверному размещению WEB-приложения. Локальная установка на компьютер пользователя не требуется.</w:t>
      </w:r>
    </w:p>
    <w:p>
      <w:pPr>
        <w:pStyle w:val="Heading1"/>
      </w:pPr>
      <w:r>
        <w:rPr>
          <w:rFonts w:ascii="Arial" w:hAnsi="Arial" w:eastAsia="Arial"/>
          <w:sz w:val="22"/>
        </w:rPr>
        <w:t>2. Адрес экземпляра для экспертной проверки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Основной сайт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https://arm-point.ru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Страница документации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https://arm-point.ru/docs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Кабинет / экземпляр ПО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https://user.arm-point.ru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логин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checkuser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пароль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A)TL63#4Gk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Протокол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3. Требования к клиентскому рабочему месту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Для доступа эксперта достаточно современного браузера, стабильного подключения к Интернету и возможности открывать HTTPS-сайты. Установка дополнительных клиентских программ не требуется.</w:t>
      </w:r>
    </w:p>
    <w:p>
      <w:pPr>
        <w:pStyle w:val="Heading1"/>
      </w:pPr>
      <w:r>
        <w:rPr>
          <w:rFonts w:ascii="Arial" w:hAnsi="Arial" w:eastAsia="Arial"/>
          <w:sz w:val="22"/>
        </w:rPr>
        <w:t>4. Требования к серверному размещению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Компонент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Рекомендуемое 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Размещение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российский VPS/сервер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Операционная система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Linux Ubuntu Server 22.04/24.04 LTS или совместимая ОС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CPU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2–4 vCPU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RAM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4–8 GB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Диск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60+ GB SSD/NVMe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WEB-сервер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База данных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PostgreSQL/Supabase PostgreSQL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Среда сборки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Node.js toolchain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Безопасность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HTTPS, актуальные обновления ОС, ограничение административного доступа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Порядок доступа эксперта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Открыть адрес https://user.arm-point.ru в браузере.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Ввести логин: checkuser.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Ввести пароль: A)TL63#4Gk.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Проверить загрузку дашборда и доступность основных разделов кабинета.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Открыть страницу документации для сопоставления интерфейса и пользовательских сценариев.</w:t>
      </w:r>
    </w:p>
    <w:p>
      <w:pPr>
        <w:pStyle w:val="Heading1"/>
      </w:pPr>
      <w:r>
        <w:rPr>
          <w:rFonts w:ascii="Arial" w:hAnsi="Arial" w:eastAsia="Arial"/>
          <w:sz w:val="22"/>
        </w:rPr>
        <w:t>6. Порядок самостоятельного развертывания экземпляра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Самостоятельное развертывание экземпляра выполняется на сервере сайта и включает подготовку домена, HTTPS, Nginx, базы данных, переменных окружения, сборку WEB-приложения из TypeScript/TSX-кода в JavaScript, HTML и CSS, публикацию статических и серверных артефактов, а также проверку доступа через браузер.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подготовить VPS/сервер и системного пользователя для развертывания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настроить домен, DNS-записи, Nginx и HTTPS-сертификат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подготовить PostgreSQL/Supabase PostgreSQL и параметры подключения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установить Node.js toolchain и выполнить сборку WEB-приложения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разместить собранный экземпляр на сервере сайта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проверить авторизацию, навигацию, основные формы, отчеты и журнал событий</w:t>
      </w:r>
    </w:p>
    <w:p>
      <w:pPr>
        <w:pStyle w:val="Heading1"/>
      </w:pPr>
      <w:r>
        <w:rPr>
          <w:rFonts w:ascii="Arial" w:hAnsi="Arial" w:eastAsia="Arial"/>
          <w:sz w:val="22"/>
        </w:rPr>
        <w:t>7. Проверка работоспособности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Проверка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Ожидаемый результат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Открытие основного сайта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страница продукта доступна по 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Открытие кабинета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отображается форма авторизации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Авторизация тестовым пользователем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открывается дашборд и навигация кабинета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Переход по разделам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основные разделы загружаются без ошибок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Работа с отчетами и журналом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данные тестового экземпляра отображаются в интерфейсе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8. Резервное копирование и восстановление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Резервное копирование выполняется для базы данных, конфигурации сервера, переменных окружения и артефактов развертывания. Восстановление предполагает подготовку сервера, установку требуемых компонентов, восстановление базы данных и повторную публикацию рабочей сборки WEB-приложения.</w:t>
      </w:r>
    </w:p>
    <w:p>
      <w:pPr>
        <w:pStyle w:val="Heading1"/>
      </w:pPr>
      <w:r>
        <w:rPr>
          <w:rFonts w:ascii="Arial" w:hAnsi="Arial" w:eastAsia="Arial"/>
          <w:sz w:val="22"/>
        </w:rPr>
        <w:t>9. Контакты и ответственные лица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Ответственным лицом со стороны правообладателя является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Контактные данные предоставляются вместе с доступом к экземпляру программного продукта и документации.</w:t>
      </w: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«ТОЧКА РОСТА».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«ТОЧКА РОСТА»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